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Acta Semiotica Estica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artikli</w:t>
      </w:r>
      <w:proofErr w:type="gramEnd"/>
      <w:r>
        <w:rPr>
          <w:rFonts w:ascii="Times New Roman" w:hAnsi="Times New Roman" w:cs="Times New Roman"/>
          <w:b/>
          <w:bCs/>
        </w:rPr>
        <w:t xml:space="preserve"> eelretsenseerimisleht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retsenseeritava</w:t>
      </w:r>
      <w:proofErr w:type="gramEnd"/>
      <w:r>
        <w:rPr>
          <w:rFonts w:ascii="Times New Roman" w:hAnsi="Times New Roman" w:cs="Times New Roman"/>
        </w:rPr>
        <w:t xml:space="preserve"> artikli pealkiri …………………………………………………………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retsenseerija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…………………………………………………………………………...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Juhised retsensendile</w:t>
      </w:r>
      <w:r>
        <w:rPr>
          <w:rFonts w:ascii="Times New Roman" w:hAnsi="Times New Roman" w:cs="Times New Roman"/>
        </w:rPr>
        <w:t xml:space="preserve">. Püüdke retsenseerides olla neutraalne </w:t>
      </w:r>
      <w:proofErr w:type="gramStart"/>
      <w:r>
        <w:rPr>
          <w:rFonts w:ascii="Times New Roman" w:hAnsi="Times New Roman" w:cs="Times New Roman"/>
        </w:rPr>
        <w:t>ja</w:t>
      </w:r>
      <w:proofErr w:type="gramEnd"/>
      <w:r>
        <w:rPr>
          <w:rFonts w:ascii="Times New Roman" w:hAnsi="Times New Roman" w:cs="Times New Roman"/>
        </w:rPr>
        <w:t xml:space="preserve"> oma kriitikas võimalikult konkreetne. Lisaks sisulistele märkustele pöörake tähelepanu ka sagedasemate üldiste probleemide esinemisele, nagu teema piiritlemine, argumentatsiooni laialivalguvus, autori stiil </w:t>
      </w:r>
      <w:proofErr w:type="gramStart"/>
      <w:r>
        <w:rPr>
          <w:rFonts w:ascii="Times New Roman" w:hAnsi="Times New Roman" w:cs="Times New Roman"/>
        </w:rPr>
        <w:t>ja</w:t>
      </w:r>
      <w:proofErr w:type="gramEnd"/>
      <w:r>
        <w:rPr>
          <w:rFonts w:ascii="Times New Roman" w:hAnsi="Times New Roman" w:cs="Times New Roman"/>
        </w:rPr>
        <w:t xml:space="preserve"> keelekasutus, sissejuhatuse ja kokkuvõtte piisavus, kasutatud materjalide ja kirjanduse sobivus jm. </w:t>
      </w:r>
      <w:proofErr w:type="gramStart"/>
      <w:r>
        <w:rPr>
          <w:rFonts w:ascii="Times New Roman" w:hAnsi="Times New Roman" w:cs="Times New Roman"/>
        </w:rPr>
        <w:t>Kirjutades lehe pöördele märkusi autorile, viidake artiklis täpsetele kohtadele (peatükk/lõik/rida).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Vajadusel kasutage lisalehti.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Toimetusele </w:t>
      </w:r>
      <w:r>
        <w:rPr>
          <w:rFonts w:ascii="Times New Roman" w:hAnsi="Times New Roman" w:cs="Times New Roman"/>
        </w:rPr>
        <w:t>(autorile ei saadeta)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hinnang</w:t>
      </w:r>
      <w:proofErr w:type="gramEnd"/>
      <w:r>
        <w:rPr>
          <w:rFonts w:ascii="Times New Roman" w:hAnsi="Times New Roman" w:cs="Times New Roman"/>
        </w:rPr>
        <w:t xml:space="preserve"> artiklile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kõrge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madal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originaalsus</w:t>
      </w:r>
      <w:proofErr w:type="gramEnd"/>
      <w:r>
        <w:rPr>
          <w:rFonts w:ascii="Times New Roman" w:hAnsi="Times New Roman" w:cs="Times New Roman"/>
        </w:rPr>
        <w:t xml:space="preserve"> ja teaduslik panus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1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ülesehitus</w:t>
      </w:r>
      <w:proofErr w:type="gramEnd"/>
      <w:r>
        <w:rPr>
          <w:rFonts w:ascii="Times New Roman" w:hAnsi="Times New Roman" w:cs="Times New Roman"/>
        </w:rPr>
        <w:t xml:space="preserve"> ja loetavus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1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metodoloogia</w:t>
      </w:r>
      <w:proofErr w:type="gramEnd"/>
      <w:r>
        <w:rPr>
          <w:rFonts w:ascii="Times New Roman" w:hAnsi="Times New Roman" w:cs="Times New Roman"/>
        </w:rPr>
        <w:t xml:space="preserve"> sobivus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1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järelduste</w:t>
      </w:r>
      <w:proofErr w:type="gramEnd"/>
      <w:r>
        <w:rPr>
          <w:rFonts w:ascii="Times New Roman" w:hAnsi="Times New Roman" w:cs="Times New Roman"/>
        </w:rPr>
        <w:t xml:space="preserve"> vastavus sisule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1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kasutatud</w:t>
      </w:r>
      <w:proofErr w:type="gramEnd"/>
      <w:r>
        <w:rPr>
          <w:rFonts w:ascii="Times New Roman" w:hAnsi="Times New Roman" w:cs="Times New Roman"/>
        </w:rPr>
        <w:t xml:space="preserve"> kirjanduse tase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1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 AVALDADA PRAEGUSEL KUJUL.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Käsikiri vastab eelretsenseeritava artikli nõuetele.</w:t>
      </w:r>
      <w:proofErr w:type="gramEnd"/>
      <w:r>
        <w:rPr>
          <w:rFonts w:ascii="Times New Roman" w:hAnsi="Times New Roman" w:cs="Times New Roman"/>
        </w:rPr>
        <w:t xml:space="preserve"> See on oluline lisandus eestikeelsele semiootilisele kirjandusele. Hea idee </w:t>
      </w:r>
      <w:proofErr w:type="gramStart"/>
      <w:r>
        <w:rPr>
          <w:rFonts w:ascii="Times New Roman" w:hAnsi="Times New Roman" w:cs="Times New Roman"/>
        </w:rPr>
        <w:t>ja</w:t>
      </w:r>
      <w:proofErr w:type="gramEnd"/>
      <w:r>
        <w:rPr>
          <w:rFonts w:ascii="Times New Roman" w:hAnsi="Times New Roman" w:cs="Times New Roman"/>
        </w:rPr>
        <w:t xml:space="preserve"> teostus.   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 AVALDADA VÄHESTE MUUTUSTEGA.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Käsikiri kõlbab avaldamiseks pärast väiksemate muutuste tegemist vastavalt pöördel toodud kommentaaridele (retsenseerija kommentaarid peavad olema piisavalt täpsed, et autor saaks neist juhinduda).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 VAADATA ÜLE PÄRAST MUUTUSTE TEGEMIST.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Käsikiri ei kõlba avaldamiseks selle praegusel kujul, kuid võib sobida pärast sisuliste muutuste tegemist vastavalt pöördel toodud kommentaaridele (retsenseerija kommentaarid peavad olema piisavalt täpsed, et autor saaks neist juhinduda).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 MITTE AVALDADA.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Käsikiri ei vasta eelretsenseeritava artikli nõuetele (retsensent peab oma otsust põhjendama).</w:t>
      </w:r>
      <w:proofErr w:type="gramEnd"/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Lisamärkused ………………………………………………………………………….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Toimetus jätab endale õiguse esitada artikkel teisele retsensendile sõltumatu arvamuse saamiseks, juhul kui retsensendi antud hinnang erineb olulisel määral ajakirja üldisest kogemusest.</w:t>
      </w:r>
      <w:proofErr w:type="gramEnd"/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</w:rPr>
        <w:t>Autorile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  <w:b/>
          <w:bCs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Sisulised märkused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Vormistuslikud märkused </w:t>
      </w:r>
    </w:p>
    <w:p w:rsidR="00531C2B" w:rsidRDefault="00531C2B" w:rsidP="00531C2B">
      <w:pPr>
        <w:widowControl w:val="0"/>
        <w:autoSpaceDE w:val="0"/>
        <w:autoSpaceDN w:val="0"/>
        <w:adjustRightInd w:val="0"/>
        <w:ind w:right="334"/>
        <w:jc w:val="both"/>
        <w:rPr>
          <w:rFonts w:ascii="Times New Roman" w:hAnsi="Times New Roman" w:cs="Times New Roman"/>
        </w:rPr>
      </w:pPr>
    </w:p>
    <w:p w:rsidR="001E6D29" w:rsidRDefault="001E6D29">
      <w:bookmarkStart w:id="0" w:name="_GoBack"/>
      <w:bookmarkEnd w:id="0"/>
    </w:p>
    <w:sectPr w:rsidR="001E6D29" w:rsidSect="00BA16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2B"/>
    <w:rsid w:val="001E6D29"/>
    <w:rsid w:val="00294352"/>
    <w:rsid w:val="005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F8E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1809</Characters>
  <Application>Microsoft Macintosh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Pärn</dc:creator>
  <cp:keywords/>
  <dc:description/>
  <cp:lastModifiedBy>Katre Pärn</cp:lastModifiedBy>
  <cp:revision>1</cp:revision>
  <dcterms:created xsi:type="dcterms:W3CDTF">2017-02-14T21:54:00Z</dcterms:created>
  <dcterms:modified xsi:type="dcterms:W3CDTF">2017-02-14T21:54:00Z</dcterms:modified>
</cp:coreProperties>
</file>